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360" w:lineRule="auto"/>
        <w:jc w:val="center"/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</w:pPr>
      <w:bookmarkStart w:id="0" w:name="_Toc4342660"/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  <w:lang w:val="en-US" w:eastAsia="zh-CN"/>
        </w:rPr>
        <w:t>职称评审材料审核</w:t>
      </w:r>
      <w:r>
        <w:rPr>
          <w:rFonts w:hint="eastAsia" w:ascii="方正小标宋简体" w:hAnsi="方正小标宋简体" w:eastAsia="方正小标宋简体" w:cs="方正小标宋简体"/>
          <w:b/>
          <w:bCs/>
          <w:sz w:val="44"/>
          <w:szCs w:val="44"/>
        </w:rPr>
        <w:t>操作手册</w:t>
      </w:r>
    </w:p>
    <w:p>
      <w:pPr>
        <w:spacing w:line="360" w:lineRule="auto"/>
        <w:jc w:val="center"/>
        <w:rPr>
          <w:rFonts w:hint="eastAsia" w:asciiTheme="majorEastAsia" w:hAnsiTheme="majorEastAsia" w:eastAsiaTheme="majorEastAsia" w:cstheme="majorEastAsia"/>
          <w:b/>
          <w:bCs/>
          <w:sz w:val="15"/>
          <w:szCs w:val="16"/>
        </w:rPr>
      </w:pP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</w:rPr>
        <w:t>（</w:t>
      </w: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eastAsia="zh-CN"/>
        </w:rPr>
        <w:t>申报单位及</w:t>
      </w: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  <w:lang w:val="en-US" w:eastAsia="zh-CN"/>
        </w:rPr>
        <w:t>职能部门审核人员使用</w:t>
      </w:r>
      <w:r>
        <w:rPr>
          <w:rFonts w:hint="eastAsia" w:asciiTheme="majorEastAsia" w:hAnsiTheme="majorEastAsia" w:eastAsiaTheme="majorEastAsia" w:cstheme="majorEastAsia"/>
          <w:b/>
          <w:bCs/>
          <w:sz w:val="28"/>
          <w:szCs w:val="28"/>
        </w:rPr>
        <w:t>）</w:t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</w:rPr>
        <w:t>访问系统</w:t>
      </w:r>
      <w:bookmarkEnd w:id="0"/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spacing w:line="360" w:lineRule="auto"/>
        <w:rPr>
          <w:rFonts w:hint="eastAsia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登录方式一：</w:t>
      </w:r>
      <w:r>
        <w:rPr>
          <w:rFonts w:hint="eastAsia"/>
          <w:sz w:val="24"/>
          <w:szCs w:val="24"/>
        </w:rPr>
        <w:t>输入</w:t>
      </w:r>
      <w:r>
        <w:rPr>
          <w:rFonts w:hint="eastAsia"/>
          <w:sz w:val="24"/>
          <w:szCs w:val="24"/>
          <w:lang w:val="en-US" w:eastAsia="zh-CN"/>
        </w:rPr>
        <w:t>人事系统地址：</w:t>
      </w:r>
      <w:r>
        <w:rPr>
          <w:rFonts w:hint="eastAsia"/>
          <w:sz w:val="24"/>
          <w:szCs w:val="24"/>
        </w:rPr>
        <w:fldChar w:fldCharType="begin"/>
      </w:r>
      <w:r>
        <w:rPr>
          <w:rFonts w:hint="eastAsia"/>
          <w:sz w:val="24"/>
          <w:szCs w:val="24"/>
        </w:rPr>
        <w:instrText xml:space="preserve">HYPERLINK"https://hr.nwafu.edu.cn/，点击回车按钮进行访问；进入登录页面，输入账号和密码，点击\“登录\”进行身份验证。"</w:instrText>
      </w:r>
      <w:r>
        <w:rPr>
          <w:rFonts w:hint="eastAsia"/>
          <w:sz w:val="24"/>
          <w:szCs w:val="24"/>
        </w:rPr>
        <w:fldChar w:fldCharType="separate"/>
      </w:r>
      <w:r>
        <w:rPr>
          <w:rFonts w:hint="eastAsia"/>
          <w:sz w:val="24"/>
          <w:szCs w:val="24"/>
        </w:rPr>
        <w:t>https://hr.nwafu.edu.cn/，</w:t>
      </w:r>
      <w:r>
        <w:rPr>
          <w:rFonts w:hint="eastAsia"/>
          <w:sz w:val="24"/>
          <w:szCs w:val="24"/>
          <w:lang w:val="en-US" w:eastAsia="zh-CN"/>
        </w:rPr>
        <w:t>进入登录页面</w:t>
      </w:r>
      <w:r>
        <w:rPr>
          <w:rFonts w:hint="eastAsia"/>
          <w:sz w:val="24"/>
          <w:szCs w:val="24"/>
        </w:rPr>
        <w:t>，输入</w:t>
      </w:r>
      <w:r>
        <w:rPr>
          <w:rFonts w:hint="eastAsia"/>
          <w:sz w:val="24"/>
          <w:szCs w:val="24"/>
          <w:lang w:val="en-US" w:eastAsia="zh-CN"/>
        </w:rPr>
        <w:t>学校信息平台</w:t>
      </w:r>
      <w:r>
        <w:rPr>
          <w:rFonts w:hint="eastAsia"/>
          <w:sz w:val="24"/>
          <w:szCs w:val="24"/>
        </w:rPr>
        <w:t>账号和密码</w:t>
      </w:r>
      <w:r>
        <w:rPr>
          <w:rFonts w:hint="eastAsia"/>
          <w:sz w:val="24"/>
          <w:szCs w:val="24"/>
          <w:lang w:val="en-US" w:eastAsia="zh-CN"/>
        </w:rPr>
        <w:t>进行登录</w:t>
      </w:r>
      <w:r>
        <w:rPr>
          <w:rFonts w:hint="eastAsia"/>
          <w:sz w:val="24"/>
          <w:szCs w:val="24"/>
          <w:lang w:eastAsia="zh-CN"/>
        </w:rPr>
        <w:t>；</w:t>
      </w:r>
      <w:r>
        <w:rPr>
          <w:rFonts w:hint="eastAsia"/>
          <w:sz w:val="24"/>
          <w:szCs w:val="24"/>
        </w:rPr>
        <w:fldChar w:fldCharType="end"/>
      </w:r>
    </w:p>
    <w:p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drawing>
          <wp:inline distT="0" distB="0" distL="114300" distR="114300">
            <wp:extent cx="5266690" cy="2658110"/>
            <wp:effectExtent l="0" t="0" r="10160" b="889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5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登录方式二：登录学校官网，从快速通道点击人事系统进行登录；</w:t>
      </w:r>
    </w:p>
    <w:p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2"/>
        </w:numPr>
        <w:bidi w:val="0"/>
        <w:spacing w:line="360" w:lineRule="auto"/>
        <w:ind w:left="425" w:leftChars="0" w:hanging="425" w:firstLineChars="0"/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</w:pPr>
      <w:r>
        <w:rPr>
          <w:rFonts w:hint="eastAsia" w:ascii="黑体" w:hAnsi="黑体" w:eastAsia="黑体" w:cs="黑体"/>
          <w:b/>
          <w:bCs w:val="0"/>
          <w:sz w:val="36"/>
          <w:szCs w:val="36"/>
          <w:lang w:val="en-US" w:eastAsia="zh-CN"/>
        </w:rPr>
        <w:t>功能使用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切换角色</w:t>
      </w:r>
    </w:p>
    <w:p>
      <w:p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登录之后默认角色为教职工，需要切换到对应的管理角色。</w:t>
      </w:r>
    </w:p>
    <w:p>
      <w:p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第一步：点击向下的箭头；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943350" cy="2000250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第二步：点击角色切换，选择角色进行切换即可，以教学质量科举例。</w:t>
      </w:r>
    </w:p>
    <w:p>
      <w:pPr>
        <w:spacing w:line="360" w:lineRule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3829050" cy="1952625"/>
            <wp:effectExtent l="0" t="0" r="0" b="952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业务数据审核</w:t>
      </w:r>
    </w:p>
    <w:p>
      <w:pPr>
        <w:numPr>
          <w:ilvl w:val="0"/>
          <w:numId w:val="3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在桌面点击绩效数据中心模块，进入绩效数据中心页面。</w:t>
      </w:r>
    </w:p>
    <w:p>
      <w:pPr>
        <w:numPr>
          <w:ilvl w:val="0"/>
          <w:numId w:val="0"/>
        </w:numPr>
        <w:spacing w:line="360" w:lineRule="auto"/>
      </w:pPr>
    </w:p>
    <w:p>
      <w:pPr>
        <w:numPr>
          <w:ilvl w:val="0"/>
          <w:numId w:val="0"/>
        </w:numPr>
        <w:spacing w:line="360" w:lineRule="auto"/>
        <w:rPr>
          <w:rFonts w:hint="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6055" cy="2147570"/>
            <wp:effectExtent l="0" t="0" r="10795" b="508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b="1474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在绩效数据中心左侧显示的内容都需要单位管理员审核。</w:t>
      </w:r>
    </w:p>
    <w:p>
      <w:pPr>
        <w:numPr>
          <w:ilvl w:val="0"/>
          <w:numId w:val="0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2405" cy="1919605"/>
            <wp:effectExtent l="0" t="0" r="4445" b="444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以教学质量综合评价为例，当数据经过单位审核通过之后，到职能部门审核状态，在待审核页面可以查看待审核的数据，然后进行审核通过、审核不通过、退回修改的操作。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57800" cy="1379220"/>
            <wp:effectExtent l="0" t="0" r="0" b="11430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spacing w:line="360" w:lineRule="auto"/>
        <w:rPr>
          <w:rFonts w:hint="default"/>
          <w:sz w:val="24"/>
          <w:szCs w:val="24"/>
          <w:lang w:val="en-US" w:eastAsia="zh-CN"/>
        </w:rPr>
      </w:pPr>
      <w:r>
        <w:rPr>
          <w:rFonts w:hint="eastAsia"/>
          <w:sz w:val="24"/>
          <w:szCs w:val="24"/>
          <w:lang w:val="en-US" w:eastAsia="zh-CN"/>
        </w:rPr>
        <w:t>选中页面的数据进行双击鼠标左键，就可以进入查看页面，可以查看数据的登记人、登记时间；单位审核人、单位审核时间信息。</w:t>
      </w:r>
    </w:p>
    <w:p>
      <w:pPr>
        <w:numPr>
          <w:ilvl w:val="0"/>
          <w:numId w:val="0"/>
        </w:numPr>
        <w:spacing w:line="360" w:lineRule="auto"/>
      </w:pPr>
      <w:r>
        <w:drawing>
          <wp:inline distT="0" distB="0" distL="114300" distR="114300">
            <wp:extent cx="5267960" cy="1711960"/>
            <wp:effectExtent l="0" t="0" r="8890" b="254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pacing w:line="360" w:lineRule="auto"/>
        <w:rPr>
          <w:rFonts w:hint="eastAsia"/>
          <w:b/>
          <w:bCs/>
          <w:color w:val="FF0000"/>
          <w:sz w:val="24"/>
          <w:szCs w:val="24"/>
          <w:lang w:val="en-US" w:eastAsia="zh-CN"/>
        </w:rPr>
      </w:pP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*各个职能部门角色的操作流程都是</w:t>
      </w:r>
      <w:bookmarkStart w:id="1" w:name="_GoBack"/>
      <w:bookmarkEnd w:id="1"/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一样的，只是各自负责审核的模块不一样。</w:t>
      </w:r>
    </w:p>
    <w:p>
      <w:pPr>
        <w:pStyle w:val="3"/>
        <w:numPr>
          <w:ilvl w:val="1"/>
          <w:numId w:val="2"/>
        </w:numPr>
        <w:bidi w:val="0"/>
        <w:spacing w:line="360" w:lineRule="auto"/>
        <w:ind w:left="567" w:leftChars="0" w:hanging="567" w:firstLineChars="0"/>
        <w:rPr>
          <w:rFonts w:hint="eastAsia"/>
        </w:rPr>
      </w:pPr>
      <w:r>
        <w:rPr>
          <w:rFonts w:hint="eastAsia"/>
          <w:lang w:val="en-US" w:eastAsia="zh-CN"/>
        </w:rPr>
        <w:t>数据批量导入</w:t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/>
        </w:rPr>
      </w:pPr>
      <w:r>
        <w:rPr>
          <w:rFonts w:hint="eastAsia"/>
          <w:sz w:val="24"/>
          <w:szCs w:val="24"/>
          <w:lang w:val="en-US" w:eastAsia="zh-CN"/>
        </w:rPr>
        <w:t>下载数据导入的模板。</w:t>
      </w:r>
    </w:p>
    <w:p>
      <w:r>
        <w:drawing>
          <wp:inline distT="0" distB="0" distL="114300" distR="114300">
            <wp:extent cx="5269230" cy="1445895"/>
            <wp:effectExtent l="0" t="0" r="7620" b="190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/>
        </w:rPr>
      </w:pPr>
      <w:r>
        <w:rPr>
          <w:rFonts w:hint="eastAsia"/>
          <w:sz w:val="24"/>
          <w:szCs w:val="24"/>
          <w:lang w:val="en-US" w:eastAsia="zh-CN"/>
        </w:rPr>
        <w:t>根据模板中示例数据进行数据整理。</w:t>
      </w: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</w:rPr>
      </w:pPr>
      <w:r>
        <w:drawing>
          <wp:inline distT="0" distB="0" distL="114300" distR="114300">
            <wp:extent cx="5274310" cy="2177415"/>
            <wp:effectExtent l="0" t="0" r="2540" b="13335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/>
        </w:rPr>
      </w:pPr>
      <w:r>
        <w:rPr>
          <w:rFonts w:hint="eastAsia"/>
          <w:sz w:val="24"/>
          <w:szCs w:val="24"/>
          <w:lang w:val="en-US" w:eastAsia="zh-CN"/>
        </w:rPr>
        <w:t>在全部数据页面点击导入按钮。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4150" cy="1074420"/>
            <wp:effectExtent l="0" t="0" r="12700" b="1143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07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  <w:rPr>
          <w:rFonts w:hint="eastAsia"/>
        </w:rPr>
      </w:pPr>
      <w:r>
        <w:rPr>
          <w:rFonts w:hint="eastAsia"/>
          <w:sz w:val="24"/>
          <w:szCs w:val="24"/>
          <w:lang w:val="en-US" w:eastAsia="zh-CN"/>
        </w:rPr>
        <w:t>选择整理好的数据文件，然后点击下一步。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6055" cy="1701800"/>
            <wp:effectExtent l="0" t="0" r="10795" b="12700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70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</w:pPr>
      <w:r>
        <w:rPr>
          <w:rFonts w:hint="eastAsia"/>
          <w:sz w:val="24"/>
          <w:szCs w:val="24"/>
          <w:lang w:val="en-US" w:eastAsia="zh-CN"/>
        </w:rPr>
        <w:t>字段匹配已经设置好了，不用管，直接点击下一步即可。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6690" cy="2671445"/>
            <wp:effectExtent l="0" t="0" r="10160" b="1460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</w:pPr>
      <w:r>
        <w:rPr>
          <w:rFonts w:hint="eastAsia"/>
          <w:sz w:val="24"/>
          <w:szCs w:val="24"/>
          <w:lang w:val="en-US" w:eastAsia="zh-CN"/>
        </w:rPr>
        <w:t>如果数据不符合要求会有提示，没有问题就点击开始导入数据。</w:t>
      </w:r>
    </w:p>
    <w:p>
      <w:pPr>
        <w:numPr>
          <w:ilvl w:val="0"/>
          <w:numId w:val="0"/>
        </w:numPr>
        <w:spacing w:line="360" w:lineRule="auto"/>
        <w:ind w:leftChars="0"/>
      </w:pPr>
      <w:r>
        <w:drawing>
          <wp:inline distT="0" distB="0" distL="114300" distR="114300">
            <wp:extent cx="5267325" cy="1534160"/>
            <wp:effectExtent l="0" t="0" r="9525" b="8890"/>
            <wp:docPr id="2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spacing w:line="360" w:lineRule="auto"/>
        <w:ind w:left="0" w:leftChars="0" w:firstLine="0" w:firstLineChars="0"/>
      </w:pPr>
      <w:r>
        <w:rPr>
          <w:rFonts w:hint="eastAsia"/>
          <w:sz w:val="24"/>
          <w:szCs w:val="24"/>
          <w:lang w:val="en-US" w:eastAsia="zh-CN"/>
        </w:rPr>
        <w:t>提示导入成功，然后可以核对一下导入数据的条数和上传导入文件的条数是否一致。</w:t>
      </w:r>
    </w:p>
    <w:p>
      <w:pPr>
        <w:numPr>
          <w:ilvl w:val="0"/>
          <w:numId w:val="0"/>
        </w:numPr>
        <w:spacing w:line="360" w:lineRule="auto"/>
        <w:ind w:leftChars="0"/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/>
        </w:rPr>
      </w:pPr>
      <w:r>
        <w:drawing>
          <wp:inline distT="0" distB="0" distL="114300" distR="114300">
            <wp:extent cx="5264785" cy="2167890"/>
            <wp:effectExtent l="0" t="0" r="12065" b="3810"/>
            <wp:docPr id="2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6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numPr>
          <w:ilvl w:val="0"/>
          <w:numId w:val="0"/>
        </w:numPr>
        <w:spacing w:line="360" w:lineRule="auto"/>
        <w:rPr>
          <w:rFonts w:hint="default"/>
          <w:b/>
          <w:bCs/>
          <w:color w:val="FF0000"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auto"/>
    <w:pitch w:val="default"/>
    <w:sig w:usb0="A00002EF" w:usb1="4000207B" w:usb2="00000000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1A1CFB"/>
    <w:multiLevelType w:val="singleLevel"/>
    <w:tmpl w:val="891A1CFB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A6F4E9EC"/>
    <w:multiLevelType w:val="singleLevel"/>
    <w:tmpl w:val="A6F4E9EC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BC07D71A"/>
    <w:multiLevelType w:val="multilevel"/>
    <w:tmpl w:val="BC07D71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3">
    <w:nsid w:val="1C9F2B73"/>
    <w:multiLevelType w:val="multilevel"/>
    <w:tmpl w:val="1C9F2B73"/>
    <w:lvl w:ilvl="0" w:tentative="0">
      <w:start w:val="1"/>
      <w:numFmt w:val="decimal"/>
      <w:lvlText w:val="%1"/>
      <w:lvlJc w:val="left"/>
      <w:pPr>
        <w:ind w:left="9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23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380" w:hanging="720"/>
      </w:pPr>
      <w:rPr>
        <w:rFonts w:hint="eastAsia"/>
      </w:rPr>
    </w:lvl>
    <w:lvl w:ilvl="3" w:tentative="0">
      <w:start w:val="1"/>
      <w:numFmt w:val="decimal"/>
      <w:pStyle w:val="5"/>
      <w:lvlText w:val="%1.%2.%3.%4"/>
      <w:lvlJc w:val="left"/>
      <w:pPr>
        <w:ind w:left="539" w:hanging="879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596" w:hanging="936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812" w:hanging="1152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95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110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1244" w:hanging="1584"/>
      </w:pPr>
      <w:rPr>
        <w:rFonts w:hint="eastAsia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7F4238"/>
    <w:rsid w:val="001B223C"/>
    <w:rsid w:val="008441CF"/>
    <w:rsid w:val="046E5030"/>
    <w:rsid w:val="049E6240"/>
    <w:rsid w:val="059E6552"/>
    <w:rsid w:val="07A64D13"/>
    <w:rsid w:val="0EEA0043"/>
    <w:rsid w:val="171750B3"/>
    <w:rsid w:val="1E6E7169"/>
    <w:rsid w:val="23BA5744"/>
    <w:rsid w:val="23EC589F"/>
    <w:rsid w:val="24317342"/>
    <w:rsid w:val="271318A5"/>
    <w:rsid w:val="2B507256"/>
    <w:rsid w:val="2CA827CA"/>
    <w:rsid w:val="3799287B"/>
    <w:rsid w:val="3BEB1702"/>
    <w:rsid w:val="3E6A1B06"/>
    <w:rsid w:val="3EAC14BA"/>
    <w:rsid w:val="45A92B64"/>
    <w:rsid w:val="45C92E2C"/>
    <w:rsid w:val="4A951534"/>
    <w:rsid w:val="4AF4202B"/>
    <w:rsid w:val="52497248"/>
    <w:rsid w:val="54CC448E"/>
    <w:rsid w:val="5BA01642"/>
    <w:rsid w:val="5BB15DBD"/>
    <w:rsid w:val="611846C4"/>
    <w:rsid w:val="61342B1E"/>
    <w:rsid w:val="6C7041C4"/>
    <w:rsid w:val="6CE81FA7"/>
    <w:rsid w:val="6D6E53CB"/>
    <w:rsid w:val="6D971089"/>
    <w:rsid w:val="6EB33F18"/>
    <w:rsid w:val="72602C27"/>
    <w:rsid w:val="73D22A18"/>
    <w:rsid w:val="756227C5"/>
    <w:rsid w:val="797F4238"/>
    <w:rsid w:val="7B1B5021"/>
    <w:rsid w:val="7DAB3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next w:val="1"/>
    <w:unhideWhenUsed/>
    <w:qFormat/>
    <w:uiPriority w:val="9"/>
    <w:pPr>
      <w:keepNext/>
      <w:keepLines/>
      <w:numPr>
        <w:ilvl w:val="3"/>
        <w:numId w:val="1"/>
      </w:numPr>
      <w:spacing w:before="240" w:after="240" w:line="360" w:lineRule="auto"/>
      <w:outlineLvl w:val="3"/>
    </w:pPr>
    <w:rPr>
      <w:rFonts w:asciiTheme="majorHAnsi" w:hAnsiTheme="majorHAnsi" w:eastAsiaTheme="majorEastAsia" w:cstheme="majorBidi"/>
      <w:b/>
      <w:bCs/>
      <w:kern w:val="0"/>
      <w:sz w:val="28"/>
      <w:szCs w:val="28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2020-01-19T07:56:00Z</dcterms:created>
  <dc:creator>Y°</dc:creator>
  <cp:lastModifiedBy>颉登科</cp:lastModifiedBy>
  <cp:lastPrinted>2021-08-12T09:25:00Z</cp:lastPrinted>
  <dcterms:modified xsi:type="dcterms:W3CDTF">2022-03-10T03:20:07Z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C5D6144B1AE445C2B874C5579497A74A</vt:lpwstr>
  </property>
</Properties>
</file>